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51" w:rsidRDefault="00F30C51" w:rsidP="00F30C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PATVIRTINTA</w:t>
      </w:r>
    </w:p>
    <w:p w:rsidR="00F30C51" w:rsidRDefault="00F30C51" w:rsidP="00F30C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VšĮ Mielagėnų Pal. J. Matulaičio </w:t>
      </w:r>
    </w:p>
    <w:p w:rsidR="00F30C51" w:rsidRDefault="00F30C51" w:rsidP="00F30C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parapinių globos namų</w:t>
      </w:r>
    </w:p>
    <w:p w:rsidR="00F30C51" w:rsidRDefault="00F30C51" w:rsidP="00F30C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2021 m. gegužės 7 d. direktorės įs. Nr. 71</w:t>
      </w:r>
    </w:p>
    <w:p w:rsidR="00F30C51" w:rsidRDefault="00F30C51" w:rsidP="00086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1F5" w:rsidRPr="00086BCF" w:rsidRDefault="007641F5" w:rsidP="00F30C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BCF">
        <w:rPr>
          <w:rFonts w:ascii="Times New Roman" w:hAnsi="Times New Roman" w:cs="Times New Roman"/>
          <w:b/>
          <w:bCs/>
          <w:sz w:val="24"/>
          <w:szCs w:val="24"/>
        </w:rPr>
        <w:t>MIELAGĖNŲ PAL</w:t>
      </w:r>
      <w:r w:rsidR="00086BC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86BCF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="000C355D" w:rsidRPr="00086BCF">
        <w:rPr>
          <w:rFonts w:ascii="Times New Roman" w:hAnsi="Times New Roman" w:cs="Times New Roman"/>
          <w:b/>
          <w:bCs/>
          <w:sz w:val="24"/>
          <w:szCs w:val="24"/>
        </w:rPr>
        <w:t>NTOJO JURGIO MATULAIČIO PARAPIN</w:t>
      </w:r>
      <w:r w:rsidR="006C2F42">
        <w:rPr>
          <w:rFonts w:ascii="Times New Roman" w:hAnsi="Times New Roman" w:cs="Times New Roman"/>
          <w:b/>
          <w:bCs/>
          <w:sz w:val="24"/>
          <w:szCs w:val="24"/>
        </w:rPr>
        <w:t>IŲ</w:t>
      </w:r>
      <w:bookmarkStart w:id="0" w:name="_GoBack"/>
      <w:bookmarkEnd w:id="0"/>
      <w:r w:rsidR="000C355D" w:rsidRPr="00086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BCF">
        <w:rPr>
          <w:rFonts w:ascii="Times New Roman" w:hAnsi="Times New Roman" w:cs="Times New Roman"/>
          <w:b/>
          <w:bCs/>
          <w:sz w:val="24"/>
          <w:szCs w:val="24"/>
        </w:rPr>
        <w:t>GLOBOS NAMŲ</w:t>
      </w:r>
    </w:p>
    <w:p w:rsidR="007641F5" w:rsidRPr="00086BCF" w:rsidRDefault="007641F5" w:rsidP="00086B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BCF">
        <w:rPr>
          <w:rFonts w:ascii="Times New Roman" w:hAnsi="Times New Roman" w:cs="Times New Roman"/>
          <w:b/>
          <w:bCs/>
          <w:sz w:val="24"/>
          <w:szCs w:val="24"/>
        </w:rPr>
        <w:t>FIZINIO IR PSICHOLOGINIO SMURTO PRIEŠ GYVENTOJUS PREVENCIJOS PROCEDŪRŲ TVARKOS APRAŠAS</w:t>
      </w:r>
    </w:p>
    <w:p w:rsidR="007641F5" w:rsidRPr="00086BCF" w:rsidRDefault="007641F5" w:rsidP="007641F5">
      <w:pPr>
        <w:rPr>
          <w:rFonts w:ascii="Times New Roman" w:hAnsi="Times New Roman" w:cs="Times New Roman"/>
          <w:sz w:val="24"/>
          <w:szCs w:val="24"/>
        </w:rPr>
      </w:pPr>
      <w:r w:rsidRPr="00086BC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641F5" w:rsidRPr="00086BCF" w:rsidRDefault="007641F5" w:rsidP="007641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BCF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7641F5" w:rsidRPr="00086BCF" w:rsidRDefault="007641F5" w:rsidP="007641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BCF">
        <w:rPr>
          <w:rFonts w:ascii="Times New Roman" w:hAnsi="Times New Roman" w:cs="Times New Roman"/>
          <w:b/>
          <w:bCs/>
          <w:sz w:val="24"/>
          <w:szCs w:val="24"/>
        </w:rPr>
        <w:t>BENROSIOS NUOSTATOS</w:t>
      </w:r>
    </w:p>
    <w:p w:rsidR="007641F5" w:rsidRPr="007641F5" w:rsidRDefault="007641F5" w:rsidP="000C355D">
      <w:pPr>
        <w:jc w:val="both"/>
      </w:pPr>
      <w:r w:rsidRPr="007641F5">
        <w:rPr>
          <w:b/>
          <w:bCs/>
        </w:rPr>
        <w:t> 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1.  Mielagėnų Palaimintojo Jurgio Matulaičio parapinių globos</w:t>
      </w:r>
      <w:r w:rsidR="00086BCF">
        <w:rPr>
          <w:rFonts w:ascii="Times New Roman" w:hAnsi="Times New Roman" w:cs="Times New Roman"/>
          <w:sz w:val="24"/>
          <w:szCs w:val="24"/>
        </w:rPr>
        <w:t xml:space="preserve"> namų (toliau – Globos namų</w:t>
      </w:r>
      <w:r w:rsidRPr="000C355D">
        <w:rPr>
          <w:rFonts w:ascii="Times New Roman" w:hAnsi="Times New Roman" w:cs="Times New Roman"/>
          <w:sz w:val="24"/>
          <w:szCs w:val="24"/>
        </w:rPr>
        <w:t xml:space="preserve">) vykdomų fizinio, psichologinio smurto prieš gyventojus ir jų atžvilgiu prevencijos procedūrų tvarkos aprašo </w:t>
      </w:r>
      <w:r w:rsidR="00086BCF">
        <w:rPr>
          <w:rFonts w:ascii="Times New Roman" w:hAnsi="Times New Roman" w:cs="Times New Roman"/>
          <w:sz w:val="24"/>
          <w:szCs w:val="24"/>
        </w:rPr>
        <w:t xml:space="preserve">(toliau – Aprašas) </w:t>
      </w:r>
      <w:r w:rsidRPr="000C355D">
        <w:rPr>
          <w:rFonts w:ascii="Times New Roman" w:hAnsi="Times New Roman" w:cs="Times New Roman"/>
          <w:sz w:val="24"/>
          <w:szCs w:val="24"/>
        </w:rPr>
        <w:t>tikslas – užkirsti kelią gyventojų nepriežiūrai, fiziniam ir psichologiniam</w:t>
      </w:r>
      <w:r w:rsidR="00086BCF">
        <w:rPr>
          <w:rFonts w:ascii="Times New Roman" w:hAnsi="Times New Roman" w:cs="Times New Roman"/>
          <w:sz w:val="24"/>
          <w:szCs w:val="24"/>
        </w:rPr>
        <w:t>, seksualiniam, ekonominiam</w:t>
      </w:r>
      <w:r w:rsidRPr="000C355D">
        <w:rPr>
          <w:rFonts w:ascii="Times New Roman" w:hAnsi="Times New Roman" w:cs="Times New Roman"/>
          <w:sz w:val="24"/>
          <w:szCs w:val="24"/>
        </w:rPr>
        <w:t xml:space="preserve"> smurtui </w:t>
      </w:r>
      <w:r w:rsidR="00086BCF">
        <w:rPr>
          <w:rFonts w:ascii="Times New Roman" w:hAnsi="Times New Roman" w:cs="Times New Roman"/>
          <w:sz w:val="24"/>
          <w:szCs w:val="24"/>
        </w:rPr>
        <w:t>prieš gyventojus.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2. Prevencinių priemonių tikslas – sukurti saugią ir palankią aplinką, kurioje gyventojai jaustųsi gerbiami, priimti ir saugūs.</w:t>
      </w:r>
    </w:p>
    <w:p w:rsidR="007641F5" w:rsidRPr="000C355D" w:rsidRDefault="00086BCF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</w:t>
      </w:r>
      <w:r w:rsidR="007641F5" w:rsidRPr="000C355D">
        <w:rPr>
          <w:rFonts w:ascii="Times New Roman" w:hAnsi="Times New Roman" w:cs="Times New Roman"/>
          <w:sz w:val="24"/>
          <w:szCs w:val="24"/>
        </w:rPr>
        <w:t>prašo paskirtis:</w:t>
      </w:r>
    </w:p>
    <w:p w:rsidR="007641F5" w:rsidRPr="000C355D" w:rsidRDefault="00086BCF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Aprašu siekiama ginti Globos namų gyventojus nuo smurto Globos namų</w:t>
      </w:r>
      <w:r w:rsidR="007641F5" w:rsidRPr="000C355D">
        <w:rPr>
          <w:rFonts w:ascii="Times New Roman" w:hAnsi="Times New Roman" w:cs="Times New Roman"/>
          <w:sz w:val="24"/>
          <w:szCs w:val="24"/>
        </w:rPr>
        <w:t xml:space="preserve"> aplinkoje, operatyviai reaguoti į iškilusią grėsmę, imtis prevencijos priemonių, taikyti apsaugos priemones ir teikti tinkamą pagalbą;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 xml:space="preserve">3.2. Fizinis ir psichologinis smurtas yra žmogaus teisių ir laisvių pažeidimas, kurį reglamentuoja Lietuvos Respublikos įstatymai ir </w:t>
      </w:r>
      <w:r w:rsidR="00086BCF">
        <w:rPr>
          <w:rFonts w:ascii="Times New Roman" w:hAnsi="Times New Roman" w:cs="Times New Roman"/>
          <w:sz w:val="24"/>
          <w:szCs w:val="24"/>
        </w:rPr>
        <w:t xml:space="preserve">kiti </w:t>
      </w:r>
      <w:r w:rsidRPr="000C355D">
        <w:rPr>
          <w:rFonts w:ascii="Times New Roman" w:hAnsi="Times New Roman" w:cs="Times New Roman"/>
          <w:sz w:val="24"/>
          <w:szCs w:val="24"/>
        </w:rPr>
        <w:t>teisės aktai.</w:t>
      </w:r>
    </w:p>
    <w:p w:rsidR="007641F5" w:rsidRPr="000C355D" w:rsidRDefault="00086BCF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Apraše</w:t>
      </w:r>
      <w:r w:rsidR="007641F5" w:rsidRPr="000C355D">
        <w:rPr>
          <w:rFonts w:ascii="Times New Roman" w:hAnsi="Times New Roman" w:cs="Times New Roman"/>
          <w:sz w:val="24"/>
          <w:szCs w:val="24"/>
        </w:rPr>
        <w:t xml:space="preserve"> vartojamos sąvokos: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4.1. </w:t>
      </w:r>
      <w:r w:rsidRPr="000C355D">
        <w:rPr>
          <w:rFonts w:ascii="Times New Roman" w:hAnsi="Times New Roman" w:cs="Times New Roman"/>
          <w:b/>
          <w:bCs/>
          <w:sz w:val="24"/>
          <w:szCs w:val="24"/>
        </w:rPr>
        <w:t>Smurtas</w:t>
      </w:r>
      <w:r w:rsidRPr="000C355D">
        <w:rPr>
          <w:rFonts w:ascii="Times New Roman" w:hAnsi="Times New Roman" w:cs="Times New Roman"/>
          <w:sz w:val="24"/>
          <w:szCs w:val="24"/>
        </w:rPr>
        <w:t> – veikimu ar neveikimu asmeniui daromas tyčinis fizinis, psichinis, ekonominis ar kitas poveikis, dėl kurio asmuo patiria fizinę, materialinę ar neturtinę žalą: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4.1.1. Smurtu laikoma: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4.1.1.1. visa, kas daro asmeniui psichologinę, fizinę, dvasinę/emocinę žalą ir sukelia kančią;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4.1.1.2. grasinimai;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lastRenderedPageBreak/>
        <w:t>4.1.1.3. bandymai apriboti asmens laisvę;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4.1.1.4. nepriežiūra.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4.1.2. </w:t>
      </w:r>
      <w:r w:rsidRPr="000C355D">
        <w:rPr>
          <w:rFonts w:ascii="Times New Roman" w:hAnsi="Times New Roman" w:cs="Times New Roman"/>
          <w:b/>
          <w:bCs/>
          <w:sz w:val="24"/>
          <w:szCs w:val="24"/>
        </w:rPr>
        <w:t>Fizinis smurtas</w:t>
      </w:r>
      <w:r w:rsidRPr="000C355D">
        <w:rPr>
          <w:rFonts w:ascii="Times New Roman" w:hAnsi="Times New Roman" w:cs="Times New Roman"/>
          <w:sz w:val="24"/>
          <w:szCs w:val="24"/>
        </w:rPr>
        <w:t> – neteisėtas, tyčinis, prieš žmogaus valią jo organizmui daromas fizinis poveikis, kuriuo siekiama atimti gyvybę, padaryti žalą sveikatai, atimti laisvę, sukelti bejėgišką būklę, fizinį skausmą ar kitokias fizines kančias: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4.1.2.1. asmens mušimas ranka ar įvairiais daiktais;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4.1.2.2. stumdymas;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4.1.2.3. purtymas;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4.1.2.4. žnaibymas;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4.1.2.5. fizinio suvaržymo priemonių taikymas.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4.1.3. </w:t>
      </w:r>
      <w:r w:rsidRPr="000C355D">
        <w:rPr>
          <w:rFonts w:ascii="Times New Roman" w:hAnsi="Times New Roman" w:cs="Times New Roman"/>
          <w:b/>
          <w:bCs/>
          <w:sz w:val="24"/>
          <w:szCs w:val="24"/>
        </w:rPr>
        <w:t>Psichologinis smurtas</w:t>
      </w:r>
      <w:r w:rsidRPr="000C355D">
        <w:rPr>
          <w:rFonts w:ascii="Times New Roman" w:hAnsi="Times New Roman" w:cs="Times New Roman"/>
          <w:sz w:val="24"/>
          <w:szCs w:val="24"/>
        </w:rPr>
        <w:t> – pavojingas, visada sąmoningas, tyčinis poveikis kito žmogaus psichikai, verčiantis jį baimintis, kad dėl tolesnių grasinančiojo veiksmų ar neveikimo atsiras tam tikrų neigiamų padarinių galinčių pakenkti fizinei, protinei, dvasinei, moralinei</w:t>
      </w:r>
      <w:r w:rsidR="00B01EEE">
        <w:rPr>
          <w:rFonts w:ascii="Times New Roman" w:hAnsi="Times New Roman" w:cs="Times New Roman"/>
          <w:sz w:val="24"/>
          <w:szCs w:val="24"/>
        </w:rPr>
        <w:t>, ekonominei</w:t>
      </w:r>
      <w:r w:rsidRPr="000C355D">
        <w:rPr>
          <w:rFonts w:ascii="Times New Roman" w:hAnsi="Times New Roman" w:cs="Times New Roman"/>
          <w:sz w:val="24"/>
          <w:szCs w:val="24"/>
        </w:rPr>
        <w:t xml:space="preserve"> ar socialinei gerovei: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4.1.3.1. žodinis agresyvus elgesys;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4.1.3.2. vertimas jaustis kaltu;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4.1.3.3. tyčiojimasis;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4.1.3.4. grasinimas;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4.1.3.5. gąsdinimas;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4.1.3.6. atstūmimas;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4.1.3.7. kalbėjimas pakeltu tonu;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4.1.3.8. kalbėjimas asmens orumą žeminančiu tonu;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4.1.3.9. privačios informacijos atskleidimas siekiant pažeminti.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4.1.4. </w:t>
      </w:r>
      <w:r w:rsidRPr="000C355D">
        <w:rPr>
          <w:rFonts w:ascii="Times New Roman" w:hAnsi="Times New Roman" w:cs="Times New Roman"/>
          <w:b/>
          <w:bCs/>
          <w:sz w:val="24"/>
          <w:szCs w:val="24"/>
        </w:rPr>
        <w:t>Finansinis smurtas</w:t>
      </w:r>
      <w:r w:rsidRPr="000C355D">
        <w:rPr>
          <w:rFonts w:ascii="Times New Roman" w:hAnsi="Times New Roman" w:cs="Times New Roman"/>
          <w:sz w:val="24"/>
          <w:szCs w:val="24"/>
        </w:rPr>
        <w:t> arba kitoks materialinis išnaudojimas – disponavimas turtu be įgaliojimų, įtikinėjimas arba vertimas dovanoti pinigus, pinigų arba daiktų pasisavinimas, neteisėtas gyventojų finansinių lėšų panaudojimas.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4.2. </w:t>
      </w:r>
      <w:r w:rsidRPr="000C355D">
        <w:rPr>
          <w:rFonts w:ascii="Times New Roman" w:hAnsi="Times New Roman" w:cs="Times New Roman"/>
          <w:b/>
          <w:bCs/>
          <w:sz w:val="24"/>
          <w:szCs w:val="24"/>
        </w:rPr>
        <w:t>Patyčios</w:t>
      </w:r>
      <w:r w:rsidRPr="000C355D">
        <w:rPr>
          <w:rFonts w:ascii="Times New Roman" w:hAnsi="Times New Roman" w:cs="Times New Roman"/>
          <w:sz w:val="24"/>
          <w:szCs w:val="24"/>
        </w:rPr>
        <w:t> – tai psichologinę ar fizinę jėgos persvarą turinčio asmens ar asmenų grupės tyčiniai, pasikartojantys veiksmai, siekiant įžeisti, įskaudinti ar kitaip sukelti psichologinę ar fizinę žalą kitam asmeniui.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4.3. </w:t>
      </w:r>
      <w:r w:rsidRPr="000C355D">
        <w:rPr>
          <w:rFonts w:ascii="Times New Roman" w:hAnsi="Times New Roman" w:cs="Times New Roman"/>
          <w:b/>
          <w:bCs/>
          <w:sz w:val="24"/>
          <w:szCs w:val="24"/>
        </w:rPr>
        <w:t>Nepriežiūra</w:t>
      </w:r>
      <w:r w:rsidRPr="000C355D">
        <w:rPr>
          <w:rFonts w:ascii="Times New Roman" w:hAnsi="Times New Roman" w:cs="Times New Roman"/>
          <w:sz w:val="24"/>
          <w:szCs w:val="24"/>
        </w:rPr>
        <w:t> – būtinos kasdienės pagalbos ir higienos arba bendros priežiūros nesuteikimas, ypač nepakankamas aprūpinimas maistu ir gėrimais, nepakankama nevaikštančių gyventojų priežiūra, dėl kurios susidaro pragulos ir kt.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5. </w:t>
      </w:r>
      <w:r w:rsidRPr="000C355D">
        <w:rPr>
          <w:rFonts w:ascii="Times New Roman" w:hAnsi="Times New Roman" w:cs="Times New Roman"/>
          <w:b/>
          <w:bCs/>
          <w:sz w:val="24"/>
          <w:szCs w:val="24"/>
        </w:rPr>
        <w:t>Smurto prevencija</w:t>
      </w:r>
      <w:r w:rsidRPr="000C355D">
        <w:rPr>
          <w:rFonts w:ascii="Times New Roman" w:hAnsi="Times New Roman" w:cs="Times New Roman"/>
          <w:sz w:val="24"/>
          <w:szCs w:val="24"/>
        </w:rPr>
        <w:t> – planingų ir sistemingų priemonių veikla, skirta fizinio ir psichologinio smurto rizikai mažinti.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 </w:t>
      </w:r>
    </w:p>
    <w:p w:rsidR="007641F5" w:rsidRPr="000C355D" w:rsidRDefault="007641F5" w:rsidP="000C35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b/>
          <w:bCs/>
          <w:sz w:val="24"/>
          <w:szCs w:val="24"/>
        </w:rPr>
        <w:t>II  SKYRIUS</w:t>
      </w:r>
    </w:p>
    <w:p w:rsidR="007641F5" w:rsidRPr="000C355D" w:rsidRDefault="007641F5" w:rsidP="000C35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b/>
          <w:bCs/>
          <w:sz w:val="24"/>
          <w:szCs w:val="24"/>
        </w:rPr>
        <w:t>SMURTO PREVENCIJA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 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55D">
        <w:rPr>
          <w:rFonts w:ascii="Times New Roman" w:hAnsi="Times New Roman" w:cs="Times New Roman"/>
          <w:b/>
          <w:sz w:val="24"/>
          <w:szCs w:val="24"/>
        </w:rPr>
        <w:t>          6. Globos namuose draudžiama bet kokia smurto forma, nukreipta: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          6.1. gyventojų prieš gyventojus;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          6.2. darbuotojų prieš gyventojus;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          6.3. gyventojų prieš darbuotojus;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          6.4. darbuotojų prieš kitus darbuotojus.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55D">
        <w:rPr>
          <w:rFonts w:ascii="Times New Roman" w:hAnsi="Times New Roman" w:cs="Times New Roman"/>
          <w:b/>
          <w:sz w:val="24"/>
          <w:szCs w:val="24"/>
        </w:rPr>
        <w:t>          7. Globos namuose susitarta dėl elgesio normų: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          7.1. gyventojų elgesio normos įtvirtintos Glob</w:t>
      </w:r>
      <w:r w:rsidR="00B01EEE">
        <w:rPr>
          <w:rFonts w:ascii="Times New Roman" w:hAnsi="Times New Roman" w:cs="Times New Roman"/>
          <w:sz w:val="24"/>
          <w:szCs w:val="24"/>
        </w:rPr>
        <w:t>os namų gyventojų vidaus tvarkos taisyklėse</w:t>
      </w:r>
      <w:r w:rsidRPr="000C355D">
        <w:rPr>
          <w:rFonts w:ascii="Times New Roman" w:hAnsi="Times New Roman" w:cs="Times New Roman"/>
          <w:sz w:val="24"/>
          <w:szCs w:val="24"/>
        </w:rPr>
        <w:t>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          7.2. darbuotojų elgesio normos įtvirtintos Globo</w:t>
      </w:r>
      <w:r w:rsidR="00B01EEE">
        <w:rPr>
          <w:rFonts w:ascii="Times New Roman" w:hAnsi="Times New Roman" w:cs="Times New Roman"/>
          <w:sz w:val="24"/>
          <w:szCs w:val="24"/>
        </w:rPr>
        <w:t>s namų tvarkos taisyklėse</w:t>
      </w:r>
      <w:r w:rsidRPr="000C355D">
        <w:rPr>
          <w:rFonts w:ascii="Times New Roman" w:hAnsi="Times New Roman" w:cs="Times New Roman"/>
          <w:sz w:val="24"/>
          <w:szCs w:val="24"/>
        </w:rPr>
        <w:t>, vidaus darbo tvarkos taisyklėse, pareigybės aprašymuose.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55D">
        <w:rPr>
          <w:rFonts w:ascii="Times New Roman" w:hAnsi="Times New Roman" w:cs="Times New Roman"/>
          <w:b/>
          <w:sz w:val="24"/>
          <w:szCs w:val="24"/>
        </w:rPr>
        <w:t>          8. Prevenciniai veiksmai apima psichosocialinės ir fizinės aplinkos gerinimą, smurto atvejų registravimą, visapusę pagalbą smurtą patyrusiems asmenims ir kultūros ugdymą.</w:t>
      </w:r>
    </w:p>
    <w:p w:rsidR="007641F5" w:rsidRPr="000C355D" w:rsidRDefault="007641F5" w:rsidP="005911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 </w:t>
      </w:r>
    </w:p>
    <w:p w:rsidR="004F44BF" w:rsidRDefault="004F44BF" w:rsidP="000C355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4BF" w:rsidRDefault="004F44BF" w:rsidP="000C355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4BF" w:rsidRDefault="004F44BF" w:rsidP="000C355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4BF" w:rsidRDefault="004F44BF" w:rsidP="000C355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4BF" w:rsidRDefault="004F44BF" w:rsidP="000C355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1F5" w:rsidRPr="000C355D" w:rsidRDefault="007641F5" w:rsidP="000C35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b/>
          <w:bCs/>
          <w:sz w:val="24"/>
          <w:szCs w:val="24"/>
        </w:rPr>
        <w:t>III  SKYRIUS</w:t>
      </w:r>
    </w:p>
    <w:p w:rsidR="007641F5" w:rsidRPr="000C355D" w:rsidRDefault="007641F5" w:rsidP="000C35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b/>
          <w:bCs/>
          <w:sz w:val="24"/>
          <w:szCs w:val="24"/>
        </w:rPr>
        <w:t>SMURTĄ PROVOKUOJANTYS IR SMURTUI NELEIDŽIANTYS ATSIRASTI VEIKSNIAI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55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55D">
        <w:rPr>
          <w:rFonts w:ascii="Times New Roman" w:hAnsi="Times New Roman" w:cs="Times New Roman"/>
          <w:b/>
          <w:sz w:val="24"/>
          <w:szCs w:val="24"/>
        </w:rPr>
        <w:t>9. Veiksniai, galintys išprovokuoti sumurtą: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9.1. psichologiniai veiksniai – nedarnūs tarpusavio santykiai, bendravimo įgūdžių stoka, savikontrolės stoka, stresas, nuolatinis nuovargis, neįvardinti ir ilgainiui neišsprendžiami konfliktai, didelis darbo krūvis, nuovargis, teisingumo jausmo nebuvimas ir kt.;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9.2. ekonominiai veiksniai – žemas pajamų lygis, skurdas ir socialinių garantijų stoka, ribotos savirealizacijos galimybės, atlyginimas neatitinkantis darbuotojų lūkesčiu ir kt.;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9.3. socialiniai veiksniai – socialinė paslaugų gavėjų nelygybė (diskriminacija, dėl amžiaus; sveikatos sutrikimai ir kt.), atskirtis, priklausomybės, stereotipai visuomenėje, agresija siekiant išsaugoti savo orumą, nedarnūs santykiai kolektyve ir kt.;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9.4. profesinis perdegimas.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55D">
        <w:rPr>
          <w:rFonts w:ascii="Times New Roman" w:hAnsi="Times New Roman" w:cs="Times New Roman"/>
          <w:b/>
          <w:sz w:val="24"/>
          <w:szCs w:val="24"/>
        </w:rPr>
        <w:t>10. Veiksniai, neleidžiantys smurtui atsirasti: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10.1. psichosocialinės aplinkos gerinimas;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10.2. reagavimas nedelsiant į bet kokios formos smurtą;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10.3. Globos namų darbuotojų informavimas ir komunikavimas apie įvykusį smurto atvejį;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10.4. triukšmo, intrigų, apkalbų vengimas, draudimas skleisti asmens garbę ir orumą žeminančią informaciją;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10.5. dalykinės ir darbinės darbo atmosferos užtikrinimas, gerų tarpusavio santykių skatinimas, darbuotojų ir gyventojų bei kitų suinteresuotų asmenų tarpusavio pagarba;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10.6. vertybių puoselėjimas: tolerancija, taktiškumas, orumas, bendruomeniškumas, mandagumas, paslaugumas, rūpinimasis kitais, tarpusavio pasitikėjimas, solidarumas, lygiateisiškumas ir kitos vertybės;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10.7. darnių bendravimo įgūdžių, savikontrolės, pykčio, streso valdymo ugdymas;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10.8. pagalbos teikimas sprendžiant kasdienes problemas;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10.9. paslaugų gavėjų užimtumo skatinimas;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10.10. naujų reagavimo į smurto atvejus būdų, kurie padėtų megzti lygiavertiškesnius ir nuoširdesnius santykius tarp darbuotojų ir gyventojų ieškojimas.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F44BF" w:rsidRDefault="004F44BF" w:rsidP="000C355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1F5" w:rsidRPr="000C355D" w:rsidRDefault="007641F5" w:rsidP="000C35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:rsidR="007641F5" w:rsidRPr="000C355D" w:rsidRDefault="007641F5" w:rsidP="000C35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b/>
          <w:bCs/>
          <w:sz w:val="24"/>
          <w:szCs w:val="24"/>
        </w:rPr>
        <w:t>SMURTO PREVENCIJOS PROCEDŪROS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 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55D">
        <w:rPr>
          <w:rFonts w:ascii="Times New Roman" w:hAnsi="Times New Roman" w:cs="Times New Roman"/>
          <w:b/>
          <w:sz w:val="24"/>
          <w:szCs w:val="24"/>
        </w:rPr>
        <w:t>11. Fizinio ir psichologinio smurto, patyčių prevencijos procedūros: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11.1. Globos namų darbuotojų švietimas (institucijoje arba mokymus organizuojančioje įstaigoje) – veikla, skirta smurto rizikai mažinti, apimanti visų darbuotojų švietimą, informavimą ir kt. priemones;</w:t>
      </w:r>
    </w:p>
    <w:p w:rsidR="007641F5" w:rsidRPr="000C355D" w:rsidRDefault="000C355D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11.2. vadovavimąsis ir laikymą</w:t>
      </w:r>
      <w:r w:rsidR="007641F5" w:rsidRPr="000C355D">
        <w:rPr>
          <w:rFonts w:ascii="Times New Roman" w:hAnsi="Times New Roman" w:cs="Times New Roman"/>
          <w:sz w:val="24"/>
          <w:szCs w:val="24"/>
        </w:rPr>
        <w:t>sis Globos namų etikos kodeksuose, tvarkos taisyklėse bei pareigybės aprašymuose numatytomis elgesio normomis;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11.3. emociškai saugios aplinkos sukūrimas;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11.4. darbuotojų kompetencijų didinimas;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11.5. organizacijos kultūros, pagrįstos pagarba, atidumu ir atvirumu, ugdymas.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55D">
        <w:rPr>
          <w:rFonts w:ascii="Times New Roman" w:hAnsi="Times New Roman" w:cs="Times New Roman"/>
          <w:b/>
          <w:sz w:val="24"/>
          <w:szCs w:val="24"/>
        </w:rPr>
        <w:t>12. Globos namų gyventojų švietimas ir prevencinės priemonės: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12.1.atvira ir abipusė komunikacija;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12.2. kalbėjimas su gyventojais apie elgesį galimo smurto metu;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12.3. gyventojų supažindinimas su elgesio taisyklėmis, jų aptarimas;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12.4. vengimas apgyvendinti gyventojus, kurie nuolat konfliktuoja tarpusavyje, yra agresyviai nusiteikę vienas kito atžvilgiu, viename kambaryje;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12.5. individualus darbas su gyventojais, linkusiais į agresyvų elgesį.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55D">
        <w:rPr>
          <w:rFonts w:ascii="Times New Roman" w:hAnsi="Times New Roman" w:cs="Times New Roman"/>
          <w:b/>
          <w:sz w:val="24"/>
          <w:szCs w:val="24"/>
        </w:rPr>
        <w:t>13. Finansinio smurto prevencijos procedūros: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13.1. gyventojų švietimas, ugdant finansinį atsparumą, supažindinimas su jų teisėmis turto disponavimo klausimais;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13.2. darbuotojų švietimas finansinio smurto prevencijos klausimais, siekiant, kad: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13.2.1. gebėtų atpažinti finansinio smurto elgesį;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13.2.2. imtųsi visų priemonių, siekiant nutraukti visus galimus veiksmus finansinio smurto pašalinimui.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13.3. darbe vadovautis patvirtinta Globos namų gyventojų asmeninių pinigų ir kitų materialinių vertybių saugojimo, naudojimo ir apskaitos tvarka.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55D">
        <w:rPr>
          <w:rFonts w:ascii="Times New Roman" w:hAnsi="Times New Roman" w:cs="Times New Roman"/>
          <w:b/>
          <w:sz w:val="24"/>
          <w:szCs w:val="24"/>
        </w:rPr>
        <w:t>14. Nepriežiūros prevencijos procedūros: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14.1. paslaugų gavėjo asmens higienos procedūrų pastovus atlikimas (maudymasis ne rečiau kas 7 dienas, rytinio ir vakarinio tualeto atlikimas, odos raukšlių priežiūra ir pan.);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14.2. pilnas aprūpinimas asmens higienos priemonėmis (kremai, sauskelnės ir pan.) ir kompensacine technika (vaikštynė, funkcinė lova ir kt.);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14.3. teisingas ir savalaikis gydytojo paskyrimų vykdymas;</w:t>
      </w:r>
    </w:p>
    <w:p w:rsidR="007641F5" w:rsidRPr="000C355D" w:rsidRDefault="007641F5" w:rsidP="000C3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14.4. esant reikalui, kūno padėties keitimas, sodinimas į neįgaliojo vežimėlį, vežimas į lauką.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55D">
        <w:rPr>
          <w:rFonts w:ascii="Times New Roman" w:hAnsi="Times New Roman" w:cs="Times New Roman"/>
          <w:b/>
          <w:sz w:val="24"/>
          <w:szCs w:val="24"/>
        </w:rPr>
        <w:t>15. Visais įtariamų ir realių patyčių, nepriežiūros ar smurto atvejais, kiekvienas darbuotojas nedelsiant reaguoja atlikdamas šiuos procedūrinius veiksmus: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15.1. Reagavimas: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15.1.1. asmens panaudojusio smurtą sustabdymas, atskyrimas;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15.1.2.  pirmosios pagalbos suteikimas (jeigu reikia);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15.1.3. esant būtinybei, kreipiasi pagalbos į kitas institucijas (policija, greitoji pagalba ir kt.);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15.1.3. raštu fiksuoja įvykusio smurto požymius ir aplinkybes;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15.2. Informavimas: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15.2.1. informuojamas tiesioginis vadovas;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15.2.2. informuojama administracija;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15.2.3. informuojami šeimos nariai.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15.3. Sprendimas: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15.3.1. skiriamas atsakingas asmuo;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15.3.2. skiriama komisija;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15.3.3. smurto atvejo ištyrimas;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15.3.4. pagalbos priemonių numatymas;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15.3.5. drausminių priemonių numatymas;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15.3.6. prevencijos priemonių numatymas.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15.4. Grįžtamasis ryšys: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15.4.1. pagalbos smurto aukai teikimas;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15.4.2. pagalbos smurtautojui teikimas;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15.4.3. prevencinių priemonių globos namuose taikymas;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15.4.4. stebėsena.</w:t>
      </w:r>
    </w:p>
    <w:p w:rsidR="000C355D" w:rsidRPr="000C355D" w:rsidRDefault="000C355D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355D" w:rsidRPr="000C355D" w:rsidRDefault="000C355D" w:rsidP="000C355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55D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:rsidR="000C355D" w:rsidRPr="000C355D" w:rsidRDefault="000C355D" w:rsidP="000C355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55D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:rsidR="000C355D" w:rsidRPr="000C355D" w:rsidRDefault="000C355D" w:rsidP="000C355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55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C355D" w:rsidRPr="000C355D" w:rsidRDefault="000C355D" w:rsidP="000C355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55D">
        <w:rPr>
          <w:rFonts w:ascii="Times New Roman" w:hAnsi="Times New Roman" w:cs="Times New Roman"/>
          <w:b/>
          <w:bCs/>
          <w:sz w:val="24"/>
          <w:szCs w:val="24"/>
        </w:rPr>
        <w:t>             </w:t>
      </w:r>
    </w:p>
    <w:p w:rsidR="000C355D" w:rsidRPr="000C355D" w:rsidRDefault="000C355D" w:rsidP="000C355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55D">
        <w:rPr>
          <w:rFonts w:ascii="Times New Roman" w:hAnsi="Times New Roman" w:cs="Times New Roman"/>
          <w:b/>
          <w:bCs/>
          <w:sz w:val="24"/>
          <w:szCs w:val="24"/>
        </w:rPr>
        <w:t>              16. Visi Globos namų darbuotojai  supažindinami su Fizinio ir psichologinio smurto prieš gy</w:t>
      </w:r>
      <w:r w:rsidR="00670F29">
        <w:rPr>
          <w:rFonts w:ascii="Times New Roman" w:hAnsi="Times New Roman" w:cs="Times New Roman"/>
          <w:b/>
          <w:bCs/>
          <w:sz w:val="24"/>
          <w:szCs w:val="24"/>
        </w:rPr>
        <w:t>ventojus prevencijos procedūrų tvarkos A</w:t>
      </w:r>
      <w:r w:rsidRPr="000C355D">
        <w:rPr>
          <w:rFonts w:ascii="Times New Roman" w:hAnsi="Times New Roman" w:cs="Times New Roman"/>
          <w:b/>
          <w:bCs/>
          <w:sz w:val="24"/>
          <w:szCs w:val="24"/>
        </w:rPr>
        <w:t>prašu.</w:t>
      </w:r>
    </w:p>
    <w:p w:rsidR="007641F5" w:rsidRPr="000C355D" w:rsidRDefault="007641F5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29B2" w:rsidRPr="000C355D" w:rsidRDefault="002D29B2" w:rsidP="000C3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D29B2" w:rsidRPr="000C35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F5"/>
    <w:rsid w:val="00086BCF"/>
    <w:rsid w:val="000C355D"/>
    <w:rsid w:val="002D29B2"/>
    <w:rsid w:val="004F44BF"/>
    <w:rsid w:val="005911EA"/>
    <w:rsid w:val="00670F29"/>
    <w:rsid w:val="006C2F42"/>
    <w:rsid w:val="007641F5"/>
    <w:rsid w:val="00B01EEE"/>
    <w:rsid w:val="00F3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34F69-1D33-46B3-B4F7-6E4B5760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6145</Words>
  <Characters>3504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Milda</cp:lastModifiedBy>
  <cp:revision>6</cp:revision>
  <dcterms:created xsi:type="dcterms:W3CDTF">2021-05-07T12:14:00Z</dcterms:created>
  <dcterms:modified xsi:type="dcterms:W3CDTF">2021-10-15T12:06:00Z</dcterms:modified>
</cp:coreProperties>
</file>